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49CA380B" w:rsidR="00D10BD4" w:rsidRPr="002A3FF6" w:rsidRDefault="00D10BD4" w:rsidP="00515FB1">
            <w:pPr>
              <w:widowControl w:val="0"/>
              <w:suppressLineNumbers/>
              <w:jc w:val="center"/>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515FB1">
              <w:rPr>
                <w:rFonts w:eastAsia="Arial Unicode MS"/>
              </w:rPr>
              <w:t xml:space="preserve"> </w:t>
            </w:r>
            <w:r w:rsidR="00515FB1" w:rsidRPr="00B85628">
              <w:t>branitelja iz Domovinskog rata i njihovih obitelji, boraca II. svjetskog rata i civilnih invalida rata</w:t>
            </w:r>
            <w:r w:rsidR="00515FB1" w:rsidRPr="00FE05E9">
              <w:t xml:space="preserve">. </w:t>
            </w:r>
            <w:r w:rsidRPr="002A3FF6">
              <w:rPr>
                <w:rFonts w:eastAsia="Arial Unicode MS"/>
              </w:rPr>
              <w:t>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0F0A98D8"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BB6B3C">
        <w:rPr>
          <w:sz w:val="28"/>
          <w:szCs w:val="28"/>
        </w:rPr>
        <w:t>01.03.2019.</w:t>
      </w:r>
    </w:p>
    <w:p w14:paraId="691D58C1" w14:textId="77777777" w:rsidR="00D10BD4" w:rsidRPr="00A57310" w:rsidRDefault="00D10BD4" w:rsidP="00D10BD4">
      <w:pPr>
        <w:jc w:val="center"/>
        <w:rPr>
          <w:sz w:val="28"/>
          <w:szCs w:val="28"/>
        </w:rPr>
      </w:pPr>
    </w:p>
    <w:p w14:paraId="42868C11" w14:textId="19CA76B7" w:rsidR="00D10BD4" w:rsidRPr="00A57310" w:rsidRDefault="00D10BD4" w:rsidP="00D10BD4">
      <w:pPr>
        <w:ind w:left="1440" w:firstLine="720"/>
        <w:rPr>
          <w:sz w:val="28"/>
          <w:szCs w:val="28"/>
        </w:rPr>
      </w:pPr>
      <w:r w:rsidRPr="00A57310">
        <w:rPr>
          <w:sz w:val="28"/>
          <w:szCs w:val="28"/>
        </w:rPr>
        <w:t xml:space="preserve">Rok za dostavu prijava: </w:t>
      </w:r>
      <w:r w:rsidR="00BB6B3C">
        <w:rPr>
          <w:sz w:val="28"/>
          <w:szCs w:val="28"/>
        </w:rPr>
        <w:t>01.04.2019.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lastRenderedPageBreak/>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73B773AA"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515FB1" w:rsidRPr="00B85628">
        <w:t>branitelja iz Domovinskog rata i njihovih obitelji, boraca II. svjetskog rata i civilnih invalida rata</w:t>
      </w:r>
      <w:r w:rsidR="00515FB1" w:rsidRPr="00FE05E9">
        <w:t xml:space="preserve">. </w:t>
      </w:r>
      <w:r w:rsidR="006C4DC5" w:rsidRPr="008407B6">
        <w:rPr>
          <w:sz w:val="22"/>
          <w:szCs w:val="22"/>
        </w:rPr>
        <w:t xml:space="preserve">za 2019. </w:t>
      </w:r>
      <w:r w:rsidR="00135E33" w:rsidRPr="008407B6">
        <w:rPr>
          <w:rFonts w:eastAsia="Arial Unicode MS"/>
          <w:sz w:val="22"/>
          <w:szCs w:val="22"/>
        </w:rPr>
        <w:t>su:</w:t>
      </w:r>
    </w:p>
    <w:p w14:paraId="6FE34EE2" w14:textId="77777777" w:rsidR="00515FB1" w:rsidRDefault="00515FB1" w:rsidP="00515FB1">
      <w:pPr>
        <w:pStyle w:val="Default"/>
      </w:pPr>
    </w:p>
    <w:p w14:paraId="7E562AB6" w14:textId="6C39111C" w:rsidR="00515FB1" w:rsidRDefault="00515FB1" w:rsidP="001B36C4">
      <w:pPr>
        <w:pStyle w:val="Default"/>
        <w:numPr>
          <w:ilvl w:val="0"/>
          <w:numId w:val="46"/>
        </w:numPr>
        <w:spacing w:after="60"/>
        <w:jc w:val="both"/>
        <w:rPr>
          <w:sz w:val="22"/>
          <w:szCs w:val="22"/>
        </w:rPr>
      </w:pPr>
      <w:r>
        <w:rPr>
          <w:sz w:val="22"/>
          <w:szCs w:val="22"/>
        </w:rPr>
        <w:t xml:space="preserve">Omogućavanje bavljenja sportskim, kulturnim, edukativnim i drugim aktivnostima za podizanje psiho-fizičkog zdravlja i kvalitete življenja </w:t>
      </w:r>
    </w:p>
    <w:p w14:paraId="4AB176A3" w14:textId="445D9734" w:rsidR="00515FB1" w:rsidRDefault="00515FB1" w:rsidP="001B36C4">
      <w:pPr>
        <w:pStyle w:val="Default"/>
        <w:numPr>
          <w:ilvl w:val="0"/>
          <w:numId w:val="46"/>
        </w:numPr>
        <w:spacing w:after="60"/>
        <w:jc w:val="both"/>
        <w:rPr>
          <w:sz w:val="22"/>
          <w:szCs w:val="22"/>
        </w:rPr>
      </w:pPr>
      <w:r>
        <w:rPr>
          <w:sz w:val="22"/>
          <w:szCs w:val="22"/>
        </w:rPr>
        <w:t xml:space="preserve">Prezentacija vrijednosti i značenja Domovinskog rata knjigama, kratkim filmovima, javnim izvođenjima i sl. </w:t>
      </w:r>
    </w:p>
    <w:p w14:paraId="1521220F" w14:textId="557E7696" w:rsidR="00515FB1" w:rsidRDefault="00515FB1" w:rsidP="001B36C4">
      <w:pPr>
        <w:pStyle w:val="Default"/>
        <w:numPr>
          <w:ilvl w:val="0"/>
          <w:numId w:val="46"/>
        </w:numPr>
        <w:jc w:val="both"/>
        <w:rPr>
          <w:sz w:val="22"/>
          <w:szCs w:val="22"/>
        </w:rPr>
      </w:pPr>
      <w:r>
        <w:rPr>
          <w:sz w:val="22"/>
          <w:szCs w:val="22"/>
        </w:rPr>
        <w:t xml:space="preserve">Očuvanje digniteta Domovinskog rata i čuvanje uspomene na stradalnike Domovinskog rata kroz obilježavanje važnijih državnih i gradskih blagdana i obljetnica </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2" w:name="_Hlk535445670"/>
    </w:p>
    <w:p w14:paraId="36E03B2F" w14:textId="02BAE9D3" w:rsidR="0002110E" w:rsidRPr="00FE183F" w:rsidRDefault="0046537C" w:rsidP="00FE183F">
      <w:pPr>
        <w:pStyle w:val="TOC1"/>
        <w:rPr>
          <w:b/>
        </w:rPr>
      </w:pPr>
      <w:r w:rsidRPr="00FE183F">
        <w:rPr>
          <w:rStyle w:val="Strong"/>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34D5FD1F"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515FB1">
        <w:rPr>
          <w:noProof/>
          <w:sz w:val="22"/>
          <w:szCs w:val="22"/>
        </w:rPr>
        <w:t>1.700.000,00</w:t>
      </w:r>
      <w:r w:rsidRPr="008407B6">
        <w:rPr>
          <w:noProof/>
          <w:sz w:val="22"/>
          <w:szCs w:val="22"/>
        </w:rPr>
        <w:t xml:space="preserve"> kuna.</w:t>
      </w:r>
    </w:p>
    <w:p w14:paraId="64A910BB" w14:textId="56A87EA5"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515FB1">
        <w:rPr>
          <w:noProof/>
          <w:sz w:val="22"/>
          <w:szCs w:val="22"/>
        </w:rPr>
        <w:t>10.000,00</w:t>
      </w:r>
      <w:r w:rsidRPr="008407B6">
        <w:rPr>
          <w:noProof/>
          <w:sz w:val="22"/>
          <w:szCs w:val="22"/>
        </w:rPr>
        <w:t xml:space="preserve"> kuna, a najveći </w:t>
      </w:r>
      <w:r w:rsidR="00515FB1">
        <w:rPr>
          <w:noProof/>
          <w:sz w:val="22"/>
          <w:szCs w:val="22"/>
        </w:rPr>
        <w:t>200.000,00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1ED4EB32" w14:textId="2BFF1BF5" w:rsidR="00884945" w:rsidRPr="002A3FF6" w:rsidRDefault="008D0405" w:rsidP="00412760">
      <w:pPr>
        <w:jc w:val="both"/>
        <w:rPr>
          <w:bCs/>
        </w:rPr>
      </w:pPr>
      <w:r w:rsidRPr="008D0405">
        <w:rPr>
          <w:bCs/>
        </w:rPr>
        <w:lastRenderedPageBreak/>
        <w:tab/>
      </w: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Grada Zagreba, dokaz je izjava odgovorne osobe udruge u kojoj ona pod materijalnom i kaznenom odgovornošću izjavljuje da u 2018. nije dobila </w:t>
            </w:r>
            <w:r w:rsidRPr="008407B6">
              <w:rPr>
                <w:rFonts w:eastAsia="Calibri"/>
                <w:bCs/>
                <w:sz w:val="22"/>
                <w:szCs w:val="22"/>
                <w:lang w:eastAsia="en-US"/>
              </w:rPr>
              <w:lastRenderedPageBreak/>
              <w:t>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w:t>
            </w:r>
            <w:r w:rsidRPr="008407B6">
              <w:rPr>
                <w:rFonts w:eastAsia="Calibri"/>
                <w:bCs/>
                <w:sz w:val="22"/>
                <w:szCs w:val="22"/>
                <w:lang w:eastAsia="en-US"/>
              </w:rPr>
              <w:lastRenderedPageBreak/>
              <w:t xml:space="preserve">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lastRenderedPageBreak/>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1E7DB1B3" w14:textId="4E453CAC" w:rsidR="00740EDE" w:rsidRPr="00D45C4C" w:rsidRDefault="00740EDE" w:rsidP="00FE183F">
      <w:pPr>
        <w:pStyle w:val="TOC1"/>
      </w:pPr>
      <w:bookmarkStart w:id="3" w:name="_Hlk535446080"/>
      <w:r w:rsidRPr="00D45C4C">
        <w:t xml:space="preserve">PARTNERSTVA I SURADNJA NA PROVEDBI PROGRAMA I </w:t>
      </w:r>
      <w:r w:rsidR="00407521" w:rsidRPr="00D45C4C">
        <w:t xml:space="preserve"> </w:t>
      </w:r>
      <w:r w:rsidRPr="00D45C4C">
        <w:t>PROJEKTA</w:t>
      </w:r>
    </w:p>
    <w:bookmarkEnd w:id="3"/>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7E6B3967" w14:textId="3B4A2D74" w:rsidR="00312B23" w:rsidRPr="002A3FF6" w:rsidRDefault="000C3E59" w:rsidP="00096A79">
      <w:pPr>
        <w:keepNext/>
        <w:keepLines/>
        <w:widowControl w:val="0"/>
        <w:tabs>
          <w:tab w:val="left" w:pos="360"/>
        </w:tabs>
        <w:spacing w:after="120"/>
        <w:jc w:val="both"/>
        <w:rPr>
          <w:noProof/>
        </w:rPr>
      </w:pPr>
      <w:r>
        <w:rPr>
          <w:noProof/>
        </w:rPr>
        <w:tab/>
      </w:r>
      <w:r>
        <w:rPr>
          <w:noProof/>
        </w:rPr>
        <w:tab/>
      </w:r>
    </w:p>
    <w:p w14:paraId="5E25D90A" w14:textId="28A7B4B1" w:rsidR="00D10BD4" w:rsidRPr="00FE183F" w:rsidRDefault="00E11FAE" w:rsidP="00FE183F">
      <w:pPr>
        <w:pStyle w:val="TOC1"/>
      </w:pPr>
      <w:bookmarkStart w:id="4" w:name="_Hlk535446180"/>
      <w:r w:rsidRPr="00FE183F">
        <w:t xml:space="preserve">PRIHVATLJIVI TROŠKOVI KOJI ĆE SE FINANCIRATI PUTEM JAVNOG </w:t>
      </w:r>
      <w:r w:rsidR="008407B6" w:rsidRPr="00FE183F">
        <w:t>NATJEČAJ</w:t>
      </w:r>
      <w:r w:rsidRPr="00FE183F">
        <w:t>A</w:t>
      </w:r>
    </w:p>
    <w:bookmarkEnd w:id="4"/>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515FB1">
      <w:pPr>
        <w:shd w:val="clear" w:color="auto" w:fill="FFFFFF"/>
        <w:spacing w:after="120"/>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3B555168" w:rsidR="00145719" w:rsidRPr="00515FB1" w:rsidRDefault="00145719" w:rsidP="00515FB1">
      <w:pPr>
        <w:pStyle w:val="ListParagraph"/>
        <w:numPr>
          <w:ilvl w:val="0"/>
          <w:numId w:val="44"/>
        </w:numPr>
        <w:shd w:val="clear" w:color="auto" w:fill="FFFFFF"/>
        <w:spacing w:line="276" w:lineRule="auto"/>
        <w:ind w:left="851" w:hanging="284"/>
        <w:jc w:val="both"/>
        <w:rPr>
          <w:color w:val="000000"/>
          <w:sz w:val="22"/>
          <w:szCs w:val="22"/>
        </w:rPr>
      </w:pPr>
      <w:r w:rsidRPr="00515FB1">
        <w:rPr>
          <w:color w:val="000000"/>
          <w:sz w:val="22"/>
          <w:szCs w:val="22"/>
        </w:rPr>
        <w:t xml:space="preserve">nastali su za vrijeme razdoblja provedbe programa ili projekta u skladu s ugovorom,   osim troškova koji se odnose na završne izvještaje, troškova revizije i troškova  vrednovanja, a </w:t>
      </w:r>
      <w:r w:rsidRPr="00515FB1">
        <w:rPr>
          <w:color w:val="000000"/>
          <w:sz w:val="22"/>
          <w:szCs w:val="22"/>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3D5ED496" w14:textId="65FE81C1" w:rsidR="00145719" w:rsidRPr="00515FB1" w:rsidRDefault="00145719" w:rsidP="00515FB1">
      <w:pPr>
        <w:pStyle w:val="ListParagraph"/>
        <w:numPr>
          <w:ilvl w:val="0"/>
          <w:numId w:val="44"/>
        </w:numPr>
        <w:shd w:val="clear" w:color="auto" w:fill="FFFFFF"/>
        <w:spacing w:line="276" w:lineRule="auto"/>
        <w:ind w:left="851" w:hanging="284"/>
        <w:jc w:val="both"/>
        <w:rPr>
          <w:color w:val="000000"/>
          <w:sz w:val="22"/>
          <w:szCs w:val="22"/>
        </w:rPr>
      </w:pPr>
      <w:r w:rsidRPr="00515FB1">
        <w:rPr>
          <w:color w:val="000000"/>
          <w:sz w:val="22"/>
          <w:szCs w:val="22"/>
        </w:rPr>
        <w:t>moraju biti navedeni u ukupnom predviđenom proračunu projekta ili programa;</w:t>
      </w:r>
    </w:p>
    <w:p w14:paraId="7A0E576E" w14:textId="35800900" w:rsidR="00145719" w:rsidRPr="00515FB1" w:rsidRDefault="00145719" w:rsidP="00515FB1">
      <w:pPr>
        <w:pStyle w:val="ListParagraph"/>
        <w:numPr>
          <w:ilvl w:val="0"/>
          <w:numId w:val="44"/>
        </w:numPr>
        <w:shd w:val="clear" w:color="auto" w:fill="FFFFFF"/>
        <w:spacing w:line="276" w:lineRule="auto"/>
        <w:ind w:left="851" w:hanging="284"/>
        <w:jc w:val="both"/>
        <w:rPr>
          <w:color w:val="000000"/>
          <w:sz w:val="22"/>
          <w:szCs w:val="22"/>
        </w:rPr>
      </w:pPr>
      <w:r w:rsidRPr="00515FB1">
        <w:rPr>
          <w:color w:val="000000"/>
          <w:sz w:val="22"/>
          <w:szCs w:val="22"/>
        </w:rPr>
        <w:t>nužni su za provođenje programa ili projekta koji je predmetom dodjele financijskih sredstava;</w:t>
      </w:r>
    </w:p>
    <w:p w14:paraId="133D081B" w14:textId="01FF14BF" w:rsidR="00145719" w:rsidRPr="00515FB1" w:rsidRDefault="00145719" w:rsidP="00515FB1">
      <w:pPr>
        <w:pStyle w:val="ListParagraph"/>
        <w:numPr>
          <w:ilvl w:val="0"/>
          <w:numId w:val="44"/>
        </w:numPr>
        <w:shd w:val="clear" w:color="auto" w:fill="FFFFFF"/>
        <w:spacing w:line="276" w:lineRule="auto"/>
        <w:ind w:left="851" w:hanging="284"/>
        <w:jc w:val="both"/>
        <w:rPr>
          <w:color w:val="000000"/>
          <w:sz w:val="22"/>
          <w:szCs w:val="22"/>
        </w:rPr>
      </w:pPr>
      <w:r w:rsidRPr="00515FB1">
        <w:rPr>
          <w:color w:val="000000"/>
          <w:sz w:val="22"/>
          <w:szCs w:val="22"/>
        </w:rPr>
        <w:t>mogu biti identificirani i provjereni i koji su računovodstveno evidentirani kod korisnika financiranja prema važećim propisima o računovodstvu neprofitnih organizacija;</w:t>
      </w:r>
    </w:p>
    <w:p w14:paraId="276CB213" w14:textId="4CF4D6F2" w:rsidR="00145719" w:rsidRPr="00515FB1" w:rsidRDefault="00145719" w:rsidP="00515FB1">
      <w:pPr>
        <w:pStyle w:val="ListParagraph"/>
        <w:numPr>
          <w:ilvl w:val="0"/>
          <w:numId w:val="44"/>
        </w:numPr>
        <w:shd w:val="clear" w:color="auto" w:fill="FFFFFF"/>
        <w:spacing w:line="276" w:lineRule="auto"/>
        <w:ind w:left="851" w:hanging="284"/>
        <w:jc w:val="both"/>
        <w:rPr>
          <w:color w:val="000000"/>
          <w:sz w:val="22"/>
          <w:szCs w:val="22"/>
        </w:rPr>
      </w:pPr>
      <w:r w:rsidRPr="00515FB1">
        <w:rPr>
          <w:color w:val="000000"/>
          <w:sz w:val="22"/>
          <w:szCs w:val="22"/>
        </w:rPr>
        <w:t>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4B583E79" w:rsidR="00FA5B83" w:rsidRPr="001C179E" w:rsidRDefault="00FA5B83" w:rsidP="00515FB1">
      <w:pPr>
        <w:spacing w:line="276" w:lineRule="auto"/>
        <w:ind w:left="567"/>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w:t>
      </w:r>
      <w:r w:rsidR="00515FB1">
        <w:rPr>
          <w:rFonts w:eastAsia="Calibri"/>
          <w:sz w:val="22"/>
          <w:szCs w:val="22"/>
        </w:rPr>
        <w:t xml:space="preserve">u neposredno vezani uz provedbu </w:t>
      </w:r>
      <w:r w:rsidRPr="001C179E">
        <w:rPr>
          <w:rFonts w:eastAsia="Calibri"/>
          <w:sz w:val="22"/>
          <w:szCs w:val="22"/>
        </w:rPr>
        <w:t>pojedinih aktivnosti predloženog programa ili projekta</w:t>
      </w:r>
      <w:r w:rsidRPr="001C179E">
        <w:rPr>
          <w:sz w:val="22"/>
          <w:szCs w:val="22"/>
        </w:rPr>
        <w:t xml:space="preserve"> kao što su: </w:t>
      </w:r>
    </w:p>
    <w:p w14:paraId="049926A2" w14:textId="65D3B382"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troškovi zaposlenika angažiranih na programu ili projektu koji odgovaraju stvarnim</w:t>
      </w:r>
      <w:r w:rsidR="00312B23" w:rsidRPr="00515FB1">
        <w:rPr>
          <w:color w:val="000000"/>
          <w:sz w:val="22"/>
          <w:szCs w:val="22"/>
        </w:rPr>
        <w:t xml:space="preserve"> </w:t>
      </w:r>
      <w:r w:rsidRPr="00515FB1">
        <w:rPr>
          <w:color w:val="000000"/>
          <w:sz w:val="22"/>
          <w:szCs w:val="22"/>
        </w:rPr>
        <w:t>izdacima za plaće te porezima i doprinosima iz plaće i drugim troškovima vezanim uz plaću;</w:t>
      </w:r>
    </w:p>
    <w:p w14:paraId="026BD345" w14:textId="13478C04"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 xml:space="preserve">putni troškovi i troškovi dnevnica za zaposlenike i druge osobe koje sudjeluju u </w:t>
      </w:r>
      <w:r w:rsidR="003D04C0" w:rsidRPr="00515FB1">
        <w:rPr>
          <w:color w:val="000000"/>
          <w:sz w:val="22"/>
          <w:szCs w:val="22"/>
        </w:rPr>
        <w:t>programu</w:t>
      </w:r>
      <w:r w:rsidRPr="00515FB1">
        <w:rPr>
          <w:color w:val="000000"/>
          <w:sz w:val="22"/>
          <w:szCs w:val="22"/>
        </w:rPr>
        <w:t xml:space="preserve"> ili pr</w:t>
      </w:r>
      <w:r w:rsidR="003D04C0" w:rsidRPr="00515FB1">
        <w:rPr>
          <w:color w:val="000000"/>
          <w:sz w:val="22"/>
          <w:szCs w:val="22"/>
        </w:rPr>
        <w:t>ojektu</w:t>
      </w:r>
      <w:r w:rsidRPr="00515FB1">
        <w:rPr>
          <w:color w:val="000000"/>
          <w:sz w:val="22"/>
          <w:szCs w:val="22"/>
        </w:rPr>
        <w:t>, pod uvjetom da su u skladu s pravilima o visini iznosa za takve naknade za korisnike koji se financiraju iz sredstava državnog proračuna;</w:t>
      </w:r>
    </w:p>
    <w:p w14:paraId="7D94BD4D" w14:textId="29B64EEE"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troškovi kupnje ili iznajmljivanja opreme i materijala (novih ili rabljenih) namijenjenih isključivo za program ili projekt, te troškovi usluga pod uvjetom da su u skladu s tržišnim cijenama;</w:t>
      </w:r>
    </w:p>
    <w:p w14:paraId="4E2F3EDE" w14:textId="18ECE0FB"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troškovi potrošne robe;</w:t>
      </w:r>
    </w:p>
    <w:p w14:paraId="058B99DA" w14:textId="5187176A"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troškovi podugovaranja;</w:t>
      </w:r>
    </w:p>
    <w:p w14:paraId="5799F372" w14:textId="48F22810" w:rsidR="00145719" w:rsidRPr="00515FB1" w:rsidRDefault="00145719" w:rsidP="00515FB1">
      <w:pPr>
        <w:pStyle w:val="ListParagraph"/>
        <w:numPr>
          <w:ilvl w:val="0"/>
          <w:numId w:val="31"/>
        </w:numPr>
        <w:shd w:val="clear" w:color="auto" w:fill="FFFFFF"/>
        <w:spacing w:line="276" w:lineRule="auto"/>
        <w:ind w:left="851" w:hanging="284"/>
        <w:jc w:val="both"/>
        <w:rPr>
          <w:color w:val="000000"/>
          <w:sz w:val="22"/>
          <w:szCs w:val="22"/>
        </w:rPr>
      </w:pPr>
      <w:r w:rsidRPr="00515FB1">
        <w:rPr>
          <w:color w:val="000000"/>
          <w:sz w:val="22"/>
          <w:szCs w:val="22"/>
        </w:rPr>
        <w:t>troškovi koji izravno proistječu iz zahtjeva ugovora uključujući troškove financijskih usluga (informiranje, vrednovanje konkretno povezano s projektom, revizij</w:t>
      </w:r>
      <w:r w:rsidR="00184FCC" w:rsidRPr="00515FB1">
        <w:rPr>
          <w:color w:val="000000"/>
          <w:sz w:val="22"/>
          <w:szCs w:val="22"/>
        </w:rPr>
        <w:t>a, umnožavanje, osiguranje i slično</w:t>
      </w:r>
      <w:r w:rsidRPr="00515FB1">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0512F6DB" w:rsidR="00FA5B83"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lastRenderedPageBreak/>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5" w:name="_Hlk535446295"/>
      <w:r w:rsidRPr="002A3FF6">
        <w:t>KAKO PRIJAVITI PROGRAM ILI PROJEKT</w:t>
      </w:r>
      <w:r w:rsidR="007F17FA" w:rsidRPr="002A3FF6">
        <w:t>,</w:t>
      </w:r>
      <w:r w:rsidRPr="002A3FF6">
        <w:t xml:space="preserve"> </w:t>
      </w:r>
      <w:bookmarkStart w:id="6" w:name="_Hlk535443978"/>
      <w:r w:rsidR="00AC2054" w:rsidRPr="002A3FF6">
        <w:t>SADRŽAJ PRIJAVE I DOKUMENTACIJA KOJU PRIJAVITELJ MORA PRILOŽITI UZ PRIJAVU</w:t>
      </w:r>
    </w:p>
    <w:bookmarkEnd w:id="5"/>
    <w:bookmarkEnd w:id="6"/>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BB6B3C"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lastRenderedPageBreak/>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7"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7"/>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w:t>
      </w:r>
      <w:r w:rsidR="009C5CC5" w:rsidRPr="001C179E">
        <w:rPr>
          <w:sz w:val="22"/>
          <w:szCs w:val="22"/>
        </w:rPr>
        <w:lastRenderedPageBreak/>
        <w:t>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722D3ED8"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w:t>
      </w:r>
      <w:r w:rsidR="00515FB1">
        <w:rPr>
          <w:noProof/>
          <w:sz w:val="22"/>
          <w:szCs w:val="22"/>
          <w:lang w:eastAsia="en-GB"/>
        </w:rPr>
        <w:t xml:space="preserve"> branitelji@zagreb.hr</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8" w:name="_Toc40507653"/>
      <w:bookmarkStart w:id="9"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8"/>
      <w:r w:rsidR="002A3FF6" w:rsidRPr="008407B6">
        <w:rPr>
          <w:rFonts w:ascii="Times New Roman" w:hAnsi="Times New Roman"/>
          <w:b w:val="0"/>
          <w:noProof/>
          <w:sz w:val="24"/>
          <w:szCs w:val="24"/>
        </w:rPr>
        <w:t>PROCJENA PRIJAVA I DONOŠENJE ODLUKE O DODJELI SREDSTAVA</w:t>
      </w:r>
      <w:bookmarkEnd w:id="9"/>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lastRenderedPageBreak/>
        <w:t xml:space="preserve">Gradsko upravno tijelo nadležno za pojedino prioritetno područje objavit će, za pojedino prioritetno područje, </w:t>
      </w:r>
      <w:bookmarkStart w:id="10"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0"/>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74BDC145" w:rsidR="002A3FF6" w:rsidRPr="002A3FF6" w:rsidRDefault="001C179E" w:rsidP="001C179E">
      <w:pPr>
        <w:spacing w:after="120"/>
        <w:ind w:firstLine="709"/>
        <w:jc w:val="both"/>
        <w:rPr>
          <w:noProof/>
          <w:color w:val="FF0000"/>
        </w:rPr>
      </w:pPr>
      <w:r>
        <w:rPr>
          <w:sz w:val="22"/>
          <w:szCs w:val="22"/>
        </w:rPr>
        <w:tab/>
      </w:r>
    </w:p>
    <w:p w14:paraId="3759A648" w14:textId="403697A3" w:rsidR="002A3FF6" w:rsidRPr="008407B6" w:rsidRDefault="00BE0158" w:rsidP="001C179E">
      <w:pPr>
        <w:pStyle w:val="Heading3"/>
        <w:numPr>
          <w:ilvl w:val="8"/>
          <w:numId w:val="6"/>
        </w:numPr>
        <w:rPr>
          <w:b w:val="0"/>
          <w:noProof/>
        </w:rPr>
      </w:pPr>
      <w:bookmarkStart w:id="11"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1"/>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655293A3" w:rsidR="002A3FF6"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2BF6C6DB" w14:textId="77777777" w:rsidR="00BB6B3C" w:rsidRPr="001C179E" w:rsidRDefault="00BB6B3C" w:rsidP="001C179E">
      <w:pPr>
        <w:ind w:firstLine="720"/>
        <w:jc w:val="both"/>
        <w:rPr>
          <w:sz w:val="22"/>
          <w:szCs w:val="22"/>
        </w:rPr>
      </w:pPr>
      <w:bookmarkStart w:id="12" w:name="_GoBack"/>
      <w:bookmarkEnd w:id="12"/>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3" w:name="_Toc486424347"/>
      <w:r>
        <w:rPr>
          <w:b w:val="0"/>
          <w:noProof/>
        </w:rPr>
        <w:lastRenderedPageBreak/>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3"/>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4"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5" w:name="_Toc486424349"/>
      <w:bookmarkEnd w:id="14"/>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5"/>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6"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6"/>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1"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lastRenderedPageBreak/>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7" w:name="_Toc486424350"/>
      <w:bookmarkStart w:id="18" w:name="_Hlk535502323"/>
      <w:r>
        <w:rPr>
          <w:noProof/>
        </w:rPr>
        <w:t xml:space="preserve"> </w:t>
      </w:r>
      <w:r>
        <w:rPr>
          <w:noProof/>
        </w:rPr>
        <w:tab/>
      </w:r>
      <w:r w:rsidRPr="008407B6">
        <w:rPr>
          <w:b w:val="0"/>
          <w:noProof/>
        </w:rPr>
        <w:t>12</w:t>
      </w:r>
      <w:r w:rsidR="002A3FF6" w:rsidRPr="008407B6">
        <w:rPr>
          <w:b w:val="0"/>
          <w:noProof/>
        </w:rPr>
        <w:t>. INFORMIRANJE I VIDLJIVOST</w:t>
      </w:r>
      <w:bookmarkEnd w:id="17"/>
    </w:p>
    <w:p w14:paraId="095FE7ED" w14:textId="77777777" w:rsidR="00D05E71" w:rsidRPr="00D05E71" w:rsidRDefault="00D05E71" w:rsidP="00D05E71">
      <w:pPr>
        <w:rPr>
          <w:lang w:eastAsia="en-US"/>
        </w:rPr>
      </w:pPr>
    </w:p>
    <w:bookmarkEnd w:id="18"/>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1229435C" w14:textId="77777777" w:rsidR="00515FB1" w:rsidRPr="00D16BAE" w:rsidRDefault="00515FB1"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19" w:name="_Toc486424352"/>
      <w:r w:rsidRPr="008407B6">
        <w:t xml:space="preserve">POPIS </w:t>
      </w:r>
      <w:r w:rsidR="008407B6" w:rsidRPr="008407B6">
        <w:t>NATJEČAJ</w:t>
      </w:r>
      <w:r w:rsidRPr="008407B6">
        <w:t>NE DOKUMENTACIJE</w:t>
      </w:r>
      <w:bookmarkEnd w:id="19"/>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0"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1" w:name="_Toc40507661"/>
      <w:bookmarkEnd w:id="20"/>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lastRenderedPageBreak/>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1"/>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rsidSect="00515FB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08922"/>
      <w:docPartObj>
        <w:docPartGallery w:val="Page Numbers (Bottom of Page)"/>
        <w:docPartUnique/>
      </w:docPartObj>
    </w:sdtPr>
    <w:sdtEndPr/>
    <w:sdtContent>
      <w:p w14:paraId="078FD145" w14:textId="51D81ACF" w:rsidR="005435FC" w:rsidRDefault="005435FC">
        <w:pPr>
          <w:pStyle w:val="Footer"/>
          <w:jc w:val="right"/>
        </w:pPr>
        <w:r>
          <w:fldChar w:fldCharType="begin"/>
        </w:r>
        <w:r>
          <w:instrText>PAGE   \* MERGEFORMAT</w:instrText>
        </w:r>
        <w:r>
          <w:fldChar w:fldCharType="separate"/>
        </w:r>
        <w:r w:rsidR="00BB6B3C">
          <w:rPr>
            <w:noProof/>
          </w:rPr>
          <w:t>14</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2AF774C"/>
    <w:multiLevelType w:val="hybridMultilevel"/>
    <w:tmpl w:val="EB6E72D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4593609"/>
    <w:multiLevelType w:val="hybridMultilevel"/>
    <w:tmpl w:val="63FE8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BD19C7"/>
    <w:multiLevelType w:val="hybridMultilevel"/>
    <w:tmpl w:val="361C2E14"/>
    <w:lvl w:ilvl="0" w:tplc="F37EBD6C">
      <w:numFmt w:val="bullet"/>
      <w:lvlText w:val="-"/>
      <w:lvlJc w:val="left"/>
      <w:pPr>
        <w:ind w:left="1789" w:hanging="360"/>
      </w:pPr>
      <w:rPr>
        <w:rFonts w:ascii="Times New Roman" w:eastAsia="Arial Unicode M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9764884"/>
    <w:multiLevelType w:val="hybridMultilevel"/>
    <w:tmpl w:val="88A810EA"/>
    <w:lvl w:ilvl="0" w:tplc="F37EBD6C">
      <w:numFmt w:val="bullet"/>
      <w:lvlText w:val="-"/>
      <w:lvlJc w:val="left"/>
      <w:pPr>
        <w:ind w:left="1789" w:hanging="360"/>
      </w:pPr>
      <w:rPr>
        <w:rFonts w:ascii="Times New Roman" w:eastAsia="Arial Unicode M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5146D0"/>
    <w:multiLevelType w:val="hybridMultilevel"/>
    <w:tmpl w:val="23501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2"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2"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34"/>
  </w:num>
  <w:num w:numId="3">
    <w:abstractNumId w:val="2"/>
  </w:num>
  <w:num w:numId="4">
    <w:abstractNumId w:val="18"/>
  </w:num>
  <w:num w:numId="5">
    <w:abstractNumId w:val="26"/>
  </w:num>
  <w:num w:numId="6">
    <w:abstractNumId w:val="19"/>
  </w:num>
  <w:num w:numId="7">
    <w:abstractNumId w:val="16"/>
  </w:num>
  <w:num w:numId="8">
    <w:abstractNumId w:val="40"/>
  </w:num>
  <w:num w:numId="9">
    <w:abstractNumId w:val="0"/>
  </w:num>
  <w:num w:numId="10">
    <w:abstractNumId w:val="28"/>
  </w:num>
  <w:num w:numId="11">
    <w:abstractNumId w:val="38"/>
  </w:num>
  <w:num w:numId="12">
    <w:abstractNumId w:val="21"/>
  </w:num>
  <w:num w:numId="13">
    <w:abstractNumId w:val="13"/>
  </w:num>
  <w:num w:numId="14">
    <w:abstractNumId w:val="23"/>
  </w:num>
  <w:num w:numId="15">
    <w:abstractNumId w:val="9"/>
  </w:num>
  <w:num w:numId="16">
    <w:abstractNumId w:val="33"/>
  </w:num>
  <w:num w:numId="17">
    <w:abstractNumId w:val="6"/>
  </w:num>
  <w:num w:numId="18">
    <w:abstractNumId w:val="17"/>
  </w:num>
  <w:num w:numId="19">
    <w:abstractNumId w:val="3"/>
  </w:num>
  <w:num w:numId="20">
    <w:abstractNumId w:val="25"/>
  </w:num>
  <w:num w:numId="21">
    <w:abstractNumId w:val="4"/>
  </w:num>
  <w:num w:numId="22">
    <w:abstractNumId w:val="31"/>
  </w:num>
  <w:num w:numId="23">
    <w:abstractNumId w:val="17"/>
    <w:lvlOverride w:ilvl="0">
      <w:startOverride w:val="1"/>
    </w:lvlOverride>
  </w:num>
  <w:num w:numId="24">
    <w:abstractNumId w:val="42"/>
  </w:num>
  <w:num w:numId="25">
    <w:abstractNumId w:val="29"/>
  </w:num>
  <w:num w:numId="26">
    <w:abstractNumId w:val="22"/>
  </w:num>
  <w:num w:numId="27">
    <w:abstractNumId w:val="39"/>
  </w:num>
  <w:num w:numId="28">
    <w:abstractNumId w:val="1"/>
  </w:num>
  <w:num w:numId="29">
    <w:abstractNumId w:val="15"/>
  </w:num>
  <w:num w:numId="30">
    <w:abstractNumId w:val="17"/>
    <w:lvlOverride w:ilvl="0">
      <w:startOverride w:val="7"/>
    </w:lvlOverride>
  </w:num>
  <w:num w:numId="31">
    <w:abstractNumId w:val="20"/>
  </w:num>
  <w:num w:numId="32">
    <w:abstractNumId w:val="12"/>
  </w:num>
  <w:num w:numId="33">
    <w:abstractNumId w:val="37"/>
  </w:num>
  <w:num w:numId="34">
    <w:abstractNumId w:val="41"/>
  </w:num>
  <w:num w:numId="35">
    <w:abstractNumId w:val="8"/>
  </w:num>
  <w:num w:numId="36">
    <w:abstractNumId w:val="7"/>
  </w:num>
  <w:num w:numId="37">
    <w:abstractNumId w:val="24"/>
  </w:num>
  <w:num w:numId="38">
    <w:abstractNumId w:val="14"/>
  </w:num>
  <w:num w:numId="39">
    <w:abstractNumId w:val="12"/>
    <w:lvlOverride w:ilvl="0">
      <w:startOverride w:val="1"/>
    </w:lvlOverride>
  </w:num>
  <w:num w:numId="40">
    <w:abstractNumId w:val="32"/>
  </w:num>
  <w:num w:numId="41">
    <w:abstractNumId w:val="36"/>
  </w:num>
  <w:num w:numId="42">
    <w:abstractNumId w:val="5"/>
  </w:num>
  <w:num w:numId="43">
    <w:abstractNumId w:val="27"/>
  </w:num>
  <w:num w:numId="44">
    <w:abstractNumId w:val="11"/>
  </w:num>
  <w:num w:numId="45">
    <w:abstractNumId w:val="1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36C4"/>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15FB1"/>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B6B3C"/>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FB1"/>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C480-CE7A-43DB-92DA-2CF8BC94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5138</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Milena Suknaić</cp:lastModifiedBy>
  <cp:revision>3</cp:revision>
  <cp:lastPrinted>2019-02-05T12:31:00Z</cp:lastPrinted>
  <dcterms:created xsi:type="dcterms:W3CDTF">2019-02-14T10:28:00Z</dcterms:created>
  <dcterms:modified xsi:type="dcterms:W3CDTF">2019-02-27T12:29:00Z</dcterms:modified>
</cp:coreProperties>
</file>